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2B" w:rsidRPr="006F2C7C" w:rsidRDefault="0082212B" w:rsidP="0082212B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ЗАОЧНОГО ЭТАПА «</w:t>
      </w:r>
      <w:r w:rsidR="00AD21ED">
        <w:rPr>
          <w:sz w:val="26"/>
          <w:szCs w:val="26"/>
        </w:rPr>
        <w:t>УЧИТЕЛЬ</w:t>
      </w:r>
      <w:r w:rsidR="00E16510">
        <w:rPr>
          <w:sz w:val="26"/>
          <w:szCs w:val="26"/>
        </w:rPr>
        <w:t xml:space="preserve"> ГОДА</w:t>
      </w:r>
      <w:r w:rsidRPr="006F2C7C">
        <w:rPr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E16510">
        <w:rPr>
          <w:sz w:val="26"/>
          <w:szCs w:val="26"/>
        </w:rPr>
        <w:t>ВИДЕО</w:t>
      </w:r>
      <w:r w:rsidR="00783695">
        <w:rPr>
          <w:sz w:val="26"/>
          <w:szCs w:val="26"/>
        </w:rPr>
        <w:t>ЭССЕ</w:t>
      </w:r>
      <w:r w:rsidRPr="006F2C7C">
        <w:rPr>
          <w:b/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</w:p>
    <w:p w:rsidR="00E16510" w:rsidRDefault="00E16510" w:rsidP="00E16510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16510">
        <w:rPr>
          <w:rFonts w:ascii="Times New Roman" w:hAnsi="Times New Roman"/>
          <w:sz w:val="26"/>
          <w:szCs w:val="26"/>
        </w:rPr>
        <w:t>Цель конкурсного испытания: отображение наиболее значимых аспектов педагогической индивидуальности конкурсанта, его профессиональной деятельности и достижений его воспитанников в контексте особенностей региона и образовательной организации, в которой он работает.</w:t>
      </w:r>
    </w:p>
    <w:p w:rsidR="00A2613C" w:rsidRPr="00E16510" w:rsidRDefault="00A2613C" w:rsidP="00E16510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16510" w:rsidRPr="00E16510" w:rsidRDefault="00E16510" w:rsidP="00E16510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16510">
        <w:rPr>
          <w:rFonts w:ascii="Times New Roman" w:hAnsi="Times New Roman"/>
          <w:bCs/>
          <w:sz w:val="26"/>
          <w:szCs w:val="26"/>
        </w:rPr>
        <w:t xml:space="preserve">Формат </w:t>
      </w:r>
      <w:r w:rsidRPr="00E16510">
        <w:rPr>
          <w:rFonts w:ascii="Times New Roman" w:hAnsi="Times New Roman"/>
          <w:sz w:val="26"/>
          <w:szCs w:val="26"/>
        </w:rPr>
        <w:t>конкурсного испытания</w:t>
      </w:r>
      <w:r w:rsidRPr="00E16510">
        <w:rPr>
          <w:rFonts w:ascii="Times New Roman" w:hAnsi="Times New Roman"/>
          <w:bCs/>
          <w:sz w:val="26"/>
          <w:szCs w:val="26"/>
        </w:rPr>
        <w:t xml:space="preserve">: </w:t>
      </w:r>
      <w:r w:rsidRPr="00E16510">
        <w:rPr>
          <w:rFonts w:ascii="Times New Roman" w:hAnsi="Times New Roman"/>
          <w:sz w:val="26"/>
          <w:szCs w:val="26"/>
        </w:rPr>
        <w:t xml:space="preserve">видеоролик продолжительностью </w:t>
      </w:r>
      <w:r w:rsidRPr="00E16510">
        <w:rPr>
          <w:rFonts w:ascii="Times New Roman" w:hAnsi="Times New Roman"/>
          <w:sz w:val="26"/>
          <w:szCs w:val="26"/>
        </w:rPr>
        <w:br/>
        <w:t xml:space="preserve">до 3 минут, принимаются работы на цифровом носителе в формате </w:t>
      </w:r>
      <w:proofErr w:type="spellStart"/>
      <w:r w:rsidRPr="00E16510">
        <w:rPr>
          <w:rFonts w:ascii="Times New Roman" w:eastAsia="Times New Roman" w:hAnsi="Times New Roman"/>
          <w:sz w:val="26"/>
          <w:szCs w:val="26"/>
          <w:lang w:val="en-US" w:eastAsia="ru-RU"/>
        </w:rPr>
        <w:t>mp</w:t>
      </w:r>
      <w:proofErr w:type="spellEnd"/>
      <w:r w:rsidRPr="00E16510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proofErr w:type="spellStart"/>
      <w:r w:rsidRPr="00E16510">
        <w:rPr>
          <w:rFonts w:ascii="Times New Roman" w:eastAsia="Times New Roman" w:hAnsi="Times New Roman"/>
          <w:sz w:val="26"/>
          <w:szCs w:val="26"/>
          <w:lang w:eastAsia="ru-RU"/>
        </w:rPr>
        <w:t>avi</w:t>
      </w:r>
      <w:proofErr w:type="spellEnd"/>
      <w:r w:rsidRPr="00E16510">
        <w:rPr>
          <w:rFonts w:ascii="Times New Roman" w:hAnsi="Times New Roman"/>
          <w:sz w:val="26"/>
          <w:szCs w:val="26"/>
        </w:rPr>
        <w:t xml:space="preserve">. </w:t>
      </w:r>
    </w:p>
    <w:p w:rsidR="0082212B" w:rsidRPr="00E16510" w:rsidRDefault="0082212B" w:rsidP="0082212B">
      <w:pPr>
        <w:jc w:val="both"/>
        <w:rPr>
          <w:b/>
          <w:sz w:val="26"/>
          <w:szCs w:val="26"/>
        </w:rPr>
      </w:pPr>
    </w:p>
    <w:p w:rsidR="0082212B" w:rsidRDefault="0082212B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  <w:r w:rsidRPr="00E16510">
        <w:rPr>
          <w:sz w:val="26"/>
          <w:szCs w:val="26"/>
        </w:rPr>
        <w:t xml:space="preserve">Порядок оценивания конкурсного испытания: оценивание производится в дистанционном режиме. </w:t>
      </w:r>
      <w:r w:rsidRPr="00E16510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E16510" w:rsidRPr="00E16510" w:rsidRDefault="00E16510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</w:p>
    <w:p w:rsidR="00825290" w:rsidRDefault="00825290" w:rsidP="0082212B">
      <w:pPr>
        <w:pStyle w:val="Default"/>
        <w:jc w:val="both"/>
        <w:rPr>
          <w:sz w:val="26"/>
          <w:szCs w:val="26"/>
        </w:rPr>
      </w:pPr>
      <w:r w:rsidRPr="00234723">
        <w:rPr>
          <w:sz w:val="26"/>
          <w:szCs w:val="26"/>
        </w:rPr>
        <w:t xml:space="preserve">Оценивание производится по критериям, которые раскрываются через показатели. </w:t>
      </w:r>
      <w:r>
        <w:rPr>
          <w:sz w:val="26"/>
          <w:szCs w:val="26"/>
        </w:rPr>
        <w:t>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</w:t>
      </w:r>
    </w:p>
    <w:p w:rsidR="00E16510" w:rsidRPr="00E16510" w:rsidRDefault="00A2613C" w:rsidP="0082212B">
      <w:pPr>
        <w:pStyle w:val="Default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82212B" w:rsidRPr="00E16510" w:rsidRDefault="0082212B" w:rsidP="0082212B">
      <w:pPr>
        <w:pStyle w:val="Default"/>
        <w:jc w:val="both"/>
        <w:rPr>
          <w:sz w:val="26"/>
          <w:szCs w:val="26"/>
        </w:rPr>
      </w:pPr>
      <w:r w:rsidRPr="00E16510">
        <w:rPr>
          <w:sz w:val="26"/>
          <w:szCs w:val="26"/>
        </w:rPr>
        <w:t>Максимальная оценка за конкурсное испытание «</w:t>
      </w:r>
      <w:proofErr w:type="spellStart"/>
      <w:r w:rsidR="00E16510">
        <w:rPr>
          <w:rFonts w:eastAsia="Times New Roman"/>
          <w:sz w:val="26"/>
          <w:szCs w:val="26"/>
          <w:lang w:eastAsia="ru-RU"/>
        </w:rPr>
        <w:t>Видео</w:t>
      </w:r>
      <w:r w:rsidR="00783695">
        <w:rPr>
          <w:rFonts w:eastAsia="Times New Roman"/>
          <w:sz w:val="26"/>
          <w:szCs w:val="26"/>
          <w:lang w:eastAsia="ru-RU"/>
        </w:rPr>
        <w:t>эссе</w:t>
      </w:r>
      <w:proofErr w:type="spellEnd"/>
      <w:r w:rsidRPr="00E16510">
        <w:rPr>
          <w:sz w:val="26"/>
          <w:szCs w:val="26"/>
        </w:rPr>
        <w:t xml:space="preserve">» – </w:t>
      </w:r>
      <w:r w:rsidR="00A2613C">
        <w:rPr>
          <w:sz w:val="26"/>
          <w:szCs w:val="26"/>
        </w:rPr>
        <w:t>2</w:t>
      </w:r>
      <w:r w:rsidRPr="00E16510">
        <w:rPr>
          <w:sz w:val="26"/>
          <w:szCs w:val="26"/>
        </w:rPr>
        <w:t>0 баллов.</w:t>
      </w:r>
    </w:p>
    <w:p w:rsidR="0082212B" w:rsidRPr="00E16510" w:rsidRDefault="0082212B" w:rsidP="0082212B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1134"/>
      </w:tblGrid>
      <w:tr w:rsidR="0082212B" w:rsidRPr="00E16510" w:rsidTr="0082212B">
        <w:tc>
          <w:tcPr>
            <w:tcW w:w="2518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kern w:val="28"/>
                <w:sz w:val="26"/>
                <w:szCs w:val="26"/>
              </w:rPr>
            </w:pPr>
            <w:r w:rsidRPr="00E16510">
              <w:rPr>
                <w:kern w:val="28"/>
                <w:sz w:val="26"/>
                <w:szCs w:val="26"/>
              </w:rPr>
              <w:t>Критерий</w:t>
            </w:r>
          </w:p>
        </w:tc>
        <w:tc>
          <w:tcPr>
            <w:tcW w:w="595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Баллы</w:t>
            </w:r>
          </w:p>
        </w:tc>
      </w:tr>
      <w:tr w:rsidR="00E16510" w:rsidRPr="00E16510" w:rsidTr="00E16510">
        <w:trPr>
          <w:trHeight w:val="276"/>
        </w:trPr>
        <w:tc>
          <w:tcPr>
            <w:tcW w:w="2518" w:type="dxa"/>
            <w:vMerge w:val="restart"/>
            <w:shd w:val="clear" w:color="auto" w:fill="auto"/>
          </w:tcPr>
          <w:p w:rsidR="00E16510" w:rsidRPr="00E16510" w:rsidRDefault="00E16510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Содержательность</w:t>
            </w:r>
          </w:p>
        </w:tc>
        <w:tc>
          <w:tcPr>
            <w:tcW w:w="5954" w:type="dxa"/>
            <w:shd w:val="clear" w:color="auto" w:fill="auto"/>
          </w:tcPr>
          <w:p w:rsidR="00E16510" w:rsidRPr="00A2613C" w:rsidRDefault="00537698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наличие информации о профессиональной деятельности конкурсанта</w:t>
            </w:r>
          </w:p>
        </w:tc>
        <w:tc>
          <w:tcPr>
            <w:tcW w:w="1134" w:type="dxa"/>
            <w:shd w:val="clear" w:color="auto" w:fill="auto"/>
          </w:tcPr>
          <w:p w:rsidR="00E16510" w:rsidRPr="00E16510" w:rsidRDefault="00E16510" w:rsidP="005D1C2D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537698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537698" w:rsidRDefault="00537698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537698" w:rsidRPr="00A2613C" w:rsidRDefault="00537698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наличие информации о достижениях воспитанников конкурсанта</w:t>
            </w:r>
          </w:p>
        </w:tc>
        <w:tc>
          <w:tcPr>
            <w:tcW w:w="1134" w:type="dxa"/>
            <w:shd w:val="clear" w:color="auto" w:fill="auto"/>
          </w:tcPr>
          <w:p w:rsidR="00537698" w:rsidRPr="00E16510" w:rsidRDefault="00537698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z w:val="26"/>
                <w:szCs w:val="26"/>
              </w:rPr>
              <w:t xml:space="preserve">отражение инновационности в </w:t>
            </w:r>
            <w:r w:rsidRPr="00A2613C">
              <w:rPr>
                <w:rFonts w:eastAsia="Calibri"/>
                <w:sz w:val="26"/>
                <w:szCs w:val="26"/>
                <w:lang w:eastAsia="en-US"/>
              </w:rPr>
              <w:t>профессиональной деятельности конкурсанта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 xml:space="preserve">учет особенностей региона 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36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учет особенностей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19"/>
        </w:trPr>
        <w:tc>
          <w:tcPr>
            <w:tcW w:w="2518" w:type="dxa"/>
            <w:vMerge w:val="restart"/>
            <w:shd w:val="clear" w:color="auto" w:fill="auto"/>
          </w:tcPr>
          <w:p w:rsidR="00A2613C" w:rsidRPr="00E16510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Творческий подход к демонстрации педагогической индивидуальности</w:t>
            </w: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sz w:val="26"/>
                <w:szCs w:val="26"/>
              </w:rPr>
              <w:t>эстетичность (цветовое решение, обоснованность дополнительных элементов украшения)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75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pacing w:val="-10"/>
                <w:sz w:val="26"/>
                <w:szCs w:val="26"/>
              </w:rPr>
              <w:t>сочетание материала и музыкального образного сопровождения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z w:val="26"/>
                <w:szCs w:val="26"/>
              </w:rPr>
              <w:t>единообразие стиля оформления видеоролика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240"/>
        </w:trPr>
        <w:tc>
          <w:tcPr>
            <w:tcW w:w="2518" w:type="dxa"/>
            <w:vMerge w:val="restart"/>
            <w:shd w:val="clear" w:color="auto" w:fill="auto"/>
          </w:tcPr>
          <w:p w:rsidR="00A2613C" w:rsidRPr="00E16510" w:rsidRDefault="00A2613C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Качество</w:t>
            </w: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z w:val="26"/>
                <w:szCs w:val="26"/>
              </w:rPr>
              <w:t>качество представленного контента (текста, изображений), отсутствие орфографических ошибок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A2613C" w:rsidRPr="00E16510" w:rsidRDefault="00A2613C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четкое изображение (отсутствие размытых кадров)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5F1EFD" w:rsidTr="0082212B">
        <w:tc>
          <w:tcPr>
            <w:tcW w:w="8472" w:type="dxa"/>
            <w:gridSpan w:val="2"/>
            <w:shd w:val="clear" w:color="auto" w:fill="auto"/>
          </w:tcPr>
          <w:p w:rsidR="00A2613C" w:rsidRPr="005F1EFD" w:rsidRDefault="00A2613C" w:rsidP="005D1C2D">
            <w:pPr>
              <w:jc w:val="right"/>
              <w:rPr>
                <w:spacing w:val="-10"/>
                <w:sz w:val="28"/>
                <w:szCs w:val="28"/>
              </w:rPr>
            </w:pPr>
            <w:r w:rsidRPr="005F1EFD">
              <w:rPr>
                <w:b/>
                <w:spacing w:val="-1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13C" w:rsidRPr="005F1EFD" w:rsidRDefault="00A2613C" w:rsidP="005D1C2D">
            <w:pPr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0 - 20</w:t>
            </w:r>
          </w:p>
        </w:tc>
      </w:tr>
    </w:tbl>
    <w:p w:rsidR="0082212B" w:rsidRDefault="0082212B" w:rsidP="0082212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8A4CE8" w:rsidRDefault="00825290"/>
    <w:sectPr w:rsidR="008A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0396"/>
    <w:multiLevelType w:val="hybridMultilevel"/>
    <w:tmpl w:val="C69E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2BC0"/>
    <w:multiLevelType w:val="hybridMultilevel"/>
    <w:tmpl w:val="2E24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31AB"/>
    <w:multiLevelType w:val="hybridMultilevel"/>
    <w:tmpl w:val="0F56A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930FE"/>
    <w:multiLevelType w:val="hybridMultilevel"/>
    <w:tmpl w:val="A88EEB28"/>
    <w:lvl w:ilvl="0" w:tplc="10E6917C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2B"/>
    <w:rsid w:val="00147C3D"/>
    <w:rsid w:val="00306263"/>
    <w:rsid w:val="00537698"/>
    <w:rsid w:val="006D32AC"/>
    <w:rsid w:val="00783695"/>
    <w:rsid w:val="007B7931"/>
    <w:rsid w:val="0082212B"/>
    <w:rsid w:val="00825290"/>
    <w:rsid w:val="00850EFC"/>
    <w:rsid w:val="00A2613C"/>
    <w:rsid w:val="00AD21ED"/>
    <w:rsid w:val="00B2013F"/>
    <w:rsid w:val="00E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Анна Александровна</cp:lastModifiedBy>
  <cp:revision>3</cp:revision>
  <cp:lastPrinted>2026-02-03T08:22:00Z</cp:lastPrinted>
  <dcterms:created xsi:type="dcterms:W3CDTF">2026-02-11T06:57:00Z</dcterms:created>
  <dcterms:modified xsi:type="dcterms:W3CDTF">2026-02-19T06:03:00Z</dcterms:modified>
</cp:coreProperties>
</file>